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6BA5" w14:textId="77777777" w:rsidR="00681E3E" w:rsidRDefault="00681E3E" w:rsidP="00702853">
      <w:pPr>
        <w:jc w:val="center"/>
        <w:rPr>
          <w:rFonts w:ascii="Arial" w:hAnsi="Arial" w:cs="Arial"/>
          <w:b/>
        </w:rPr>
      </w:pPr>
    </w:p>
    <w:p w14:paraId="4E2FC134" w14:textId="77777777" w:rsidR="005C52A0" w:rsidRDefault="005C52A0" w:rsidP="005C52A0">
      <w:pPr>
        <w:rPr>
          <w:rFonts w:ascii="Arial" w:hAnsi="Arial" w:cs="Arial"/>
          <w:b/>
          <w:sz w:val="36"/>
          <w:szCs w:val="36"/>
        </w:rPr>
      </w:pPr>
    </w:p>
    <w:p w14:paraId="1913C3AE" w14:textId="77777777" w:rsidR="005C52A0" w:rsidRDefault="005C52A0" w:rsidP="005C52A0">
      <w:pPr>
        <w:jc w:val="center"/>
        <w:rPr>
          <w:rFonts w:ascii="Arial" w:hAnsi="Arial" w:cs="Arial"/>
          <w:b/>
          <w:sz w:val="36"/>
          <w:szCs w:val="36"/>
        </w:rPr>
      </w:pPr>
    </w:p>
    <w:tbl>
      <w:tblPr>
        <w:tblStyle w:val="TableGrid"/>
        <w:tblW w:w="0" w:type="auto"/>
        <w:tblLook w:val="04A0" w:firstRow="1" w:lastRow="0" w:firstColumn="1" w:lastColumn="0" w:noHBand="0" w:noVBand="1"/>
      </w:tblPr>
      <w:tblGrid>
        <w:gridCol w:w="4084"/>
        <w:gridCol w:w="4212"/>
      </w:tblGrid>
      <w:tr w:rsidR="005C52A0" w14:paraId="09CB4187" w14:textId="77777777" w:rsidTr="00830B9E">
        <w:trPr>
          <w:trHeight w:val="1234"/>
        </w:trPr>
        <w:tc>
          <w:tcPr>
            <w:tcW w:w="4495" w:type="dxa"/>
            <w:shd w:val="clear" w:color="auto" w:fill="DBE5F1" w:themeFill="accent1" w:themeFillTint="33"/>
          </w:tcPr>
          <w:p w14:paraId="2646B13F" w14:textId="77777777" w:rsidR="005C52A0" w:rsidRPr="00890E59" w:rsidRDefault="005C52A0" w:rsidP="00830B9E">
            <w:pPr>
              <w:jc w:val="center"/>
              <w:rPr>
                <w:rFonts w:ascii="Arial" w:hAnsi="Arial" w:cs="Arial"/>
                <w:b/>
                <w:sz w:val="28"/>
                <w:szCs w:val="28"/>
              </w:rPr>
            </w:pPr>
            <w:r>
              <w:rPr>
                <w:rFonts w:ascii="Arial" w:hAnsi="Arial" w:cs="Arial"/>
                <w:b/>
                <w:sz w:val="28"/>
                <w:szCs w:val="28"/>
              </w:rPr>
              <w:t>Document</w:t>
            </w:r>
          </w:p>
        </w:tc>
        <w:tc>
          <w:tcPr>
            <w:tcW w:w="4495" w:type="dxa"/>
          </w:tcPr>
          <w:p w14:paraId="010A78DC" w14:textId="7E526CEB" w:rsidR="005C52A0" w:rsidRPr="00890E59" w:rsidRDefault="00CB38EF" w:rsidP="00830B9E">
            <w:pPr>
              <w:jc w:val="center"/>
              <w:rPr>
                <w:rFonts w:ascii="Arial" w:hAnsi="Arial" w:cs="Arial"/>
                <w:b/>
                <w:sz w:val="28"/>
                <w:szCs w:val="28"/>
              </w:rPr>
            </w:pPr>
            <w:r>
              <w:rPr>
                <w:rFonts w:ascii="Arial" w:hAnsi="Arial" w:cs="Arial"/>
                <w:b/>
                <w:sz w:val="28"/>
                <w:szCs w:val="28"/>
              </w:rPr>
              <w:t xml:space="preserve">Prescribing </w:t>
            </w:r>
            <w:r w:rsidR="00E62A34">
              <w:rPr>
                <w:rFonts w:ascii="Arial" w:hAnsi="Arial" w:cs="Arial"/>
                <w:b/>
                <w:sz w:val="28"/>
                <w:szCs w:val="28"/>
              </w:rPr>
              <w:t xml:space="preserve">of Benzodiazepines </w:t>
            </w:r>
          </w:p>
        </w:tc>
      </w:tr>
      <w:tr w:rsidR="005C52A0" w14:paraId="5824A3A2" w14:textId="77777777" w:rsidTr="00830B9E">
        <w:trPr>
          <w:trHeight w:val="636"/>
        </w:trPr>
        <w:tc>
          <w:tcPr>
            <w:tcW w:w="4495" w:type="dxa"/>
            <w:shd w:val="clear" w:color="auto" w:fill="DBE5F1" w:themeFill="accent1" w:themeFillTint="33"/>
          </w:tcPr>
          <w:p w14:paraId="559D94F6" w14:textId="77777777" w:rsidR="005C52A0" w:rsidRPr="00890E59" w:rsidRDefault="005C52A0" w:rsidP="00830B9E">
            <w:pPr>
              <w:jc w:val="center"/>
              <w:rPr>
                <w:rFonts w:ascii="Arial" w:hAnsi="Arial" w:cs="Arial"/>
                <w:b/>
                <w:sz w:val="28"/>
                <w:szCs w:val="28"/>
              </w:rPr>
            </w:pPr>
            <w:r>
              <w:rPr>
                <w:rFonts w:ascii="Arial" w:hAnsi="Arial" w:cs="Arial"/>
                <w:b/>
                <w:sz w:val="28"/>
                <w:szCs w:val="28"/>
              </w:rPr>
              <w:t>Author</w:t>
            </w:r>
          </w:p>
        </w:tc>
        <w:tc>
          <w:tcPr>
            <w:tcW w:w="4495" w:type="dxa"/>
          </w:tcPr>
          <w:p w14:paraId="19687A33" w14:textId="7A995D53" w:rsidR="005C52A0" w:rsidRPr="00890E59" w:rsidRDefault="00CB38EF" w:rsidP="00830B9E">
            <w:pPr>
              <w:jc w:val="center"/>
              <w:rPr>
                <w:rFonts w:ascii="Arial" w:hAnsi="Arial" w:cs="Arial"/>
                <w:b/>
                <w:sz w:val="28"/>
                <w:szCs w:val="28"/>
              </w:rPr>
            </w:pPr>
            <w:r>
              <w:rPr>
                <w:rFonts w:ascii="Arial" w:hAnsi="Arial" w:cs="Arial"/>
                <w:b/>
                <w:sz w:val="28"/>
                <w:szCs w:val="28"/>
              </w:rPr>
              <w:t xml:space="preserve">Haider Ali </w:t>
            </w:r>
          </w:p>
        </w:tc>
      </w:tr>
      <w:tr w:rsidR="005C52A0" w14:paraId="4631B462" w14:textId="77777777" w:rsidTr="00830B9E">
        <w:trPr>
          <w:trHeight w:val="617"/>
        </w:trPr>
        <w:tc>
          <w:tcPr>
            <w:tcW w:w="4495" w:type="dxa"/>
            <w:shd w:val="clear" w:color="auto" w:fill="DBE5F1" w:themeFill="accent1" w:themeFillTint="33"/>
          </w:tcPr>
          <w:p w14:paraId="10A66508" w14:textId="77777777" w:rsidR="005C52A0" w:rsidRPr="00890E59" w:rsidRDefault="005C52A0" w:rsidP="00830B9E">
            <w:pPr>
              <w:jc w:val="center"/>
              <w:rPr>
                <w:rFonts w:ascii="Arial" w:hAnsi="Arial" w:cs="Arial"/>
                <w:b/>
                <w:sz w:val="28"/>
                <w:szCs w:val="28"/>
              </w:rPr>
            </w:pPr>
            <w:r>
              <w:rPr>
                <w:rFonts w:ascii="Arial" w:hAnsi="Arial" w:cs="Arial"/>
                <w:b/>
                <w:sz w:val="28"/>
                <w:szCs w:val="28"/>
              </w:rPr>
              <w:t>Date</w:t>
            </w:r>
          </w:p>
        </w:tc>
        <w:tc>
          <w:tcPr>
            <w:tcW w:w="4495" w:type="dxa"/>
          </w:tcPr>
          <w:p w14:paraId="5A7E9BF4" w14:textId="71924298" w:rsidR="005C52A0" w:rsidRPr="00890E59" w:rsidRDefault="00CB38EF" w:rsidP="00830B9E">
            <w:pPr>
              <w:jc w:val="center"/>
              <w:rPr>
                <w:rFonts w:ascii="Arial" w:hAnsi="Arial" w:cs="Arial"/>
                <w:b/>
                <w:sz w:val="28"/>
                <w:szCs w:val="28"/>
              </w:rPr>
            </w:pPr>
            <w:r>
              <w:rPr>
                <w:rFonts w:ascii="Arial" w:hAnsi="Arial" w:cs="Arial"/>
                <w:b/>
                <w:sz w:val="28"/>
                <w:szCs w:val="28"/>
              </w:rPr>
              <w:t>March 2025</w:t>
            </w:r>
          </w:p>
        </w:tc>
      </w:tr>
      <w:tr w:rsidR="005C52A0" w14:paraId="5229A54A" w14:textId="77777777" w:rsidTr="00830B9E">
        <w:trPr>
          <w:trHeight w:val="617"/>
        </w:trPr>
        <w:tc>
          <w:tcPr>
            <w:tcW w:w="4495" w:type="dxa"/>
            <w:shd w:val="clear" w:color="auto" w:fill="DBE5F1" w:themeFill="accent1" w:themeFillTint="33"/>
          </w:tcPr>
          <w:p w14:paraId="7BE1FE25" w14:textId="77777777" w:rsidR="005C52A0" w:rsidRPr="00890E59" w:rsidRDefault="005C52A0" w:rsidP="00830B9E">
            <w:pPr>
              <w:jc w:val="center"/>
              <w:rPr>
                <w:rFonts w:ascii="Arial" w:hAnsi="Arial" w:cs="Arial"/>
                <w:b/>
                <w:sz w:val="28"/>
                <w:szCs w:val="28"/>
              </w:rPr>
            </w:pPr>
            <w:r>
              <w:rPr>
                <w:rFonts w:ascii="Arial" w:hAnsi="Arial" w:cs="Arial"/>
                <w:b/>
                <w:sz w:val="28"/>
                <w:szCs w:val="28"/>
              </w:rPr>
              <w:t>Approved by</w:t>
            </w:r>
          </w:p>
        </w:tc>
        <w:tc>
          <w:tcPr>
            <w:tcW w:w="4495" w:type="dxa"/>
          </w:tcPr>
          <w:p w14:paraId="27DFDCE2" w14:textId="19BD6D7B" w:rsidR="005C52A0" w:rsidRPr="00890E59" w:rsidRDefault="00CB38EF" w:rsidP="00830B9E">
            <w:pPr>
              <w:jc w:val="center"/>
              <w:rPr>
                <w:rFonts w:ascii="Arial" w:hAnsi="Arial" w:cs="Arial"/>
                <w:b/>
                <w:sz w:val="28"/>
                <w:szCs w:val="28"/>
              </w:rPr>
            </w:pPr>
            <w:r>
              <w:rPr>
                <w:rFonts w:ascii="Arial" w:hAnsi="Arial" w:cs="Arial"/>
                <w:b/>
                <w:sz w:val="28"/>
                <w:szCs w:val="28"/>
              </w:rPr>
              <w:t>Board</w:t>
            </w:r>
          </w:p>
        </w:tc>
      </w:tr>
      <w:tr w:rsidR="005C52A0" w:rsidRPr="00890E59" w14:paraId="20125AF6" w14:textId="77777777" w:rsidTr="00830B9E">
        <w:trPr>
          <w:trHeight w:val="617"/>
        </w:trPr>
        <w:tc>
          <w:tcPr>
            <w:tcW w:w="4495" w:type="dxa"/>
            <w:shd w:val="clear" w:color="auto" w:fill="DBE5F1" w:themeFill="accent1" w:themeFillTint="33"/>
          </w:tcPr>
          <w:p w14:paraId="22B6E3E6" w14:textId="77777777" w:rsidR="005C52A0" w:rsidRPr="00890E59" w:rsidRDefault="005C52A0" w:rsidP="00830B9E">
            <w:pPr>
              <w:jc w:val="center"/>
              <w:rPr>
                <w:rFonts w:ascii="Arial" w:hAnsi="Arial" w:cs="Arial"/>
                <w:b/>
                <w:sz w:val="28"/>
                <w:szCs w:val="28"/>
              </w:rPr>
            </w:pPr>
            <w:r w:rsidRPr="00890E59">
              <w:rPr>
                <w:rFonts w:ascii="Arial" w:hAnsi="Arial" w:cs="Arial"/>
                <w:b/>
                <w:sz w:val="28"/>
                <w:szCs w:val="28"/>
              </w:rPr>
              <w:t>Review date</w:t>
            </w:r>
          </w:p>
        </w:tc>
        <w:tc>
          <w:tcPr>
            <w:tcW w:w="4495" w:type="dxa"/>
          </w:tcPr>
          <w:p w14:paraId="5D51A421" w14:textId="304D99C7" w:rsidR="005C52A0" w:rsidRPr="00890E59" w:rsidRDefault="00CB38EF" w:rsidP="00830B9E">
            <w:pPr>
              <w:jc w:val="center"/>
              <w:rPr>
                <w:rFonts w:ascii="Arial" w:hAnsi="Arial" w:cs="Arial"/>
                <w:b/>
                <w:sz w:val="28"/>
                <w:szCs w:val="28"/>
              </w:rPr>
            </w:pPr>
            <w:r>
              <w:rPr>
                <w:rFonts w:ascii="Arial" w:hAnsi="Arial" w:cs="Arial"/>
                <w:b/>
                <w:sz w:val="28"/>
                <w:szCs w:val="28"/>
              </w:rPr>
              <w:t>March 2027</w:t>
            </w:r>
          </w:p>
        </w:tc>
      </w:tr>
    </w:tbl>
    <w:p w14:paraId="682EB7B1" w14:textId="77777777" w:rsidR="005C52A0" w:rsidRDefault="005C52A0" w:rsidP="00702853">
      <w:pPr>
        <w:jc w:val="center"/>
        <w:rPr>
          <w:rFonts w:ascii="Arial" w:hAnsi="Arial" w:cs="Arial"/>
          <w:b/>
        </w:rPr>
      </w:pPr>
    </w:p>
    <w:p w14:paraId="284E0D5E" w14:textId="77777777" w:rsidR="005C52A0" w:rsidRDefault="005C52A0" w:rsidP="00702853">
      <w:pPr>
        <w:jc w:val="center"/>
        <w:rPr>
          <w:rFonts w:ascii="Arial" w:hAnsi="Arial" w:cs="Arial"/>
          <w:b/>
        </w:rPr>
      </w:pPr>
    </w:p>
    <w:p w14:paraId="66773BB5" w14:textId="77777777" w:rsidR="005C52A0" w:rsidRDefault="005C52A0" w:rsidP="00702853">
      <w:pPr>
        <w:jc w:val="center"/>
        <w:rPr>
          <w:rFonts w:ascii="Arial" w:hAnsi="Arial" w:cs="Arial"/>
          <w:b/>
        </w:rPr>
      </w:pPr>
    </w:p>
    <w:p w14:paraId="6A4C388A" w14:textId="77777777" w:rsidR="005C52A0" w:rsidRDefault="005C52A0" w:rsidP="00702853">
      <w:pPr>
        <w:jc w:val="center"/>
        <w:rPr>
          <w:rFonts w:ascii="Arial" w:hAnsi="Arial" w:cs="Arial"/>
          <w:b/>
        </w:rPr>
      </w:pPr>
    </w:p>
    <w:p w14:paraId="7651C5D4" w14:textId="77777777" w:rsidR="005C52A0" w:rsidRDefault="005C52A0" w:rsidP="00702853">
      <w:pPr>
        <w:jc w:val="center"/>
        <w:rPr>
          <w:rFonts w:ascii="Arial" w:hAnsi="Arial" w:cs="Arial"/>
          <w:b/>
        </w:rPr>
      </w:pPr>
    </w:p>
    <w:p w14:paraId="5F2FF49B" w14:textId="77777777" w:rsidR="005C52A0" w:rsidRDefault="005C52A0" w:rsidP="00702853">
      <w:pPr>
        <w:jc w:val="center"/>
        <w:rPr>
          <w:rFonts w:ascii="Arial" w:hAnsi="Arial" w:cs="Arial"/>
          <w:b/>
        </w:rPr>
      </w:pPr>
    </w:p>
    <w:p w14:paraId="0562D3C7" w14:textId="77777777" w:rsidR="005C52A0" w:rsidRDefault="005C52A0" w:rsidP="00702853">
      <w:pPr>
        <w:jc w:val="center"/>
        <w:rPr>
          <w:rFonts w:ascii="Arial" w:hAnsi="Arial" w:cs="Arial"/>
          <w:b/>
        </w:rPr>
      </w:pPr>
    </w:p>
    <w:p w14:paraId="66C7B297" w14:textId="77777777" w:rsidR="005C52A0" w:rsidRDefault="005C52A0" w:rsidP="00702853">
      <w:pPr>
        <w:jc w:val="center"/>
        <w:rPr>
          <w:rFonts w:ascii="Arial" w:hAnsi="Arial" w:cs="Arial"/>
          <w:b/>
        </w:rPr>
      </w:pPr>
    </w:p>
    <w:p w14:paraId="2CF39477" w14:textId="77777777" w:rsidR="005C52A0" w:rsidRDefault="005C52A0" w:rsidP="00702853">
      <w:pPr>
        <w:jc w:val="center"/>
        <w:rPr>
          <w:rFonts w:ascii="Arial" w:hAnsi="Arial" w:cs="Arial"/>
          <w:b/>
        </w:rPr>
      </w:pPr>
    </w:p>
    <w:p w14:paraId="09F261EB" w14:textId="77777777" w:rsidR="005C52A0" w:rsidRDefault="005C52A0" w:rsidP="00702853">
      <w:pPr>
        <w:jc w:val="center"/>
        <w:rPr>
          <w:rFonts w:ascii="Arial" w:hAnsi="Arial" w:cs="Arial"/>
          <w:b/>
        </w:rPr>
      </w:pPr>
    </w:p>
    <w:p w14:paraId="3AB2052F" w14:textId="77777777" w:rsidR="005C52A0" w:rsidRDefault="005C52A0" w:rsidP="00702853">
      <w:pPr>
        <w:jc w:val="center"/>
        <w:rPr>
          <w:rFonts w:ascii="Arial" w:hAnsi="Arial" w:cs="Arial"/>
          <w:b/>
        </w:rPr>
      </w:pPr>
    </w:p>
    <w:p w14:paraId="20A2273F" w14:textId="77777777" w:rsidR="005C52A0" w:rsidRDefault="005C52A0" w:rsidP="00702853">
      <w:pPr>
        <w:jc w:val="center"/>
        <w:rPr>
          <w:rFonts w:ascii="Arial" w:hAnsi="Arial" w:cs="Arial"/>
          <w:b/>
        </w:rPr>
      </w:pPr>
    </w:p>
    <w:p w14:paraId="2DA47169" w14:textId="77777777" w:rsidR="005C52A0" w:rsidRDefault="005C52A0" w:rsidP="00702853">
      <w:pPr>
        <w:jc w:val="center"/>
        <w:rPr>
          <w:rFonts w:ascii="Arial" w:hAnsi="Arial" w:cs="Arial"/>
          <w:b/>
        </w:rPr>
      </w:pPr>
    </w:p>
    <w:p w14:paraId="3E87575E" w14:textId="77777777" w:rsidR="005C52A0" w:rsidRDefault="005C52A0" w:rsidP="00702853">
      <w:pPr>
        <w:jc w:val="center"/>
        <w:rPr>
          <w:rFonts w:ascii="Arial" w:hAnsi="Arial" w:cs="Arial"/>
          <w:b/>
        </w:rPr>
      </w:pPr>
    </w:p>
    <w:p w14:paraId="5E8C8DBF" w14:textId="77777777" w:rsidR="005C52A0" w:rsidRDefault="005C52A0" w:rsidP="00702853">
      <w:pPr>
        <w:jc w:val="center"/>
        <w:rPr>
          <w:rFonts w:ascii="Arial" w:hAnsi="Arial" w:cs="Arial"/>
          <w:b/>
        </w:rPr>
      </w:pPr>
    </w:p>
    <w:p w14:paraId="56F47132" w14:textId="77777777" w:rsidR="005C52A0" w:rsidRDefault="005C52A0" w:rsidP="00702853">
      <w:pPr>
        <w:jc w:val="center"/>
        <w:rPr>
          <w:rFonts w:ascii="Arial" w:hAnsi="Arial" w:cs="Arial"/>
          <w:b/>
        </w:rPr>
      </w:pPr>
    </w:p>
    <w:p w14:paraId="0378C1ED" w14:textId="77777777" w:rsidR="005C52A0" w:rsidRDefault="005C52A0" w:rsidP="00702853">
      <w:pPr>
        <w:jc w:val="center"/>
        <w:rPr>
          <w:rFonts w:ascii="Arial" w:hAnsi="Arial" w:cs="Arial"/>
          <w:b/>
        </w:rPr>
      </w:pPr>
    </w:p>
    <w:p w14:paraId="039617A6" w14:textId="77777777" w:rsidR="005C52A0" w:rsidRDefault="005C52A0" w:rsidP="00702853">
      <w:pPr>
        <w:jc w:val="center"/>
        <w:rPr>
          <w:rFonts w:ascii="Arial" w:hAnsi="Arial" w:cs="Arial"/>
          <w:b/>
        </w:rPr>
      </w:pPr>
    </w:p>
    <w:p w14:paraId="5173E2FD" w14:textId="77777777" w:rsidR="005C52A0" w:rsidRDefault="005C52A0" w:rsidP="00702853">
      <w:pPr>
        <w:jc w:val="center"/>
        <w:rPr>
          <w:rFonts w:ascii="Arial" w:hAnsi="Arial" w:cs="Arial"/>
          <w:b/>
        </w:rPr>
      </w:pPr>
    </w:p>
    <w:p w14:paraId="241B2F2B" w14:textId="77777777" w:rsidR="005C52A0" w:rsidRDefault="005C52A0" w:rsidP="00702853">
      <w:pPr>
        <w:jc w:val="center"/>
        <w:rPr>
          <w:rFonts w:ascii="Arial" w:hAnsi="Arial" w:cs="Arial"/>
          <w:b/>
        </w:rPr>
      </w:pPr>
    </w:p>
    <w:p w14:paraId="45E6D93C" w14:textId="77777777" w:rsidR="005C52A0" w:rsidRDefault="005C52A0" w:rsidP="00702853">
      <w:pPr>
        <w:jc w:val="center"/>
        <w:rPr>
          <w:rFonts w:ascii="Arial" w:hAnsi="Arial" w:cs="Arial"/>
          <w:b/>
        </w:rPr>
      </w:pPr>
    </w:p>
    <w:p w14:paraId="6803746B" w14:textId="77777777" w:rsidR="005C52A0" w:rsidRDefault="005C52A0" w:rsidP="00702853">
      <w:pPr>
        <w:jc w:val="center"/>
        <w:rPr>
          <w:rFonts w:ascii="Arial" w:hAnsi="Arial" w:cs="Arial"/>
          <w:b/>
        </w:rPr>
      </w:pPr>
    </w:p>
    <w:p w14:paraId="05189CED" w14:textId="77777777" w:rsidR="005C52A0" w:rsidRDefault="005C52A0" w:rsidP="00702853">
      <w:pPr>
        <w:jc w:val="center"/>
        <w:rPr>
          <w:rFonts w:ascii="Arial" w:hAnsi="Arial" w:cs="Arial"/>
          <w:b/>
        </w:rPr>
      </w:pPr>
    </w:p>
    <w:p w14:paraId="338E8D3B" w14:textId="77777777" w:rsidR="005C52A0" w:rsidRDefault="005C52A0" w:rsidP="00702853">
      <w:pPr>
        <w:jc w:val="center"/>
        <w:rPr>
          <w:rFonts w:ascii="Arial" w:hAnsi="Arial" w:cs="Arial"/>
          <w:b/>
        </w:rPr>
      </w:pPr>
    </w:p>
    <w:p w14:paraId="141C69EF" w14:textId="77777777" w:rsidR="005C52A0" w:rsidRDefault="005C52A0" w:rsidP="00702853">
      <w:pPr>
        <w:jc w:val="center"/>
        <w:rPr>
          <w:rFonts w:ascii="Arial" w:hAnsi="Arial" w:cs="Arial"/>
          <w:b/>
        </w:rPr>
      </w:pPr>
    </w:p>
    <w:p w14:paraId="4DB017C7" w14:textId="77777777" w:rsidR="005C52A0" w:rsidRDefault="005C52A0" w:rsidP="00702853">
      <w:pPr>
        <w:jc w:val="center"/>
        <w:rPr>
          <w:rFonts w:ascii="Arial" w:hAnsi="Arial" w:cs="Arial"/>
          <w:b/>
        </w:rPr>
      </w:pPr>
    </w:p>
    <w:p w14:paraId="7896B22D" w14:textId="77777777" w:rsidR="005C52A0" w:rsidRDefault="005C52A0" w:rsidP="00702853">
      <w:pPr>
        <w:jc w:val="center"/>
        <w:rPr>
          <w:rFonts w:ascii="Arial" w:hAnsi="Arial" w:cs="Arial"/>
          <w:b/>
        </w:rPr>
      </w:pPr>
    </w:p>
    <w:p w14:paraId="1B15D3CD" w14:textId="77777777" w:rsidR="005C52A0" w:rsidRDefault="005C52A0" w:rsidP="00702853">
      <w:pPr>
        <w:jc w:val="center"/>
        <w:rPr>
          <w:rFonts w:ascii="Arial" w:hAnsi="Arial" w:cs="Arial"/>
          <w:b/>
        </w:rPr>
      </w:pPr>
    </w:p>
    <w:p w14:paraId="3E54B150" w14:textId="77777777" w:rsidR="005C52A0" w:rsidRDefault="005C52A0" w:rsidP="00702853">
      <w:pPr>
        <w:jc w:val="center"/>
        <w:rPr>
          <w:rFonts w:ascii="Arial" w:hAnsi="Arial" w:cs="Arial"/>
          <w:b/>
        </w:rPr>
      </w:pPr>
    </w:p>
    <w:p w14:paraId="2AAEF4E0" w14:textId="77777777" w:rsidR="005C52A0" w:rsidRDefault="005C52A0" w:rsidP="00702853">
      <w:pPr>
        <w:jc w:val="center"/>
        <w:rPr>
          <w:rFonts w:ascii="Arial" w:hAnsi="Arial" w:cs="Arial"/>
          <w:b/>
        </w:rPr>
      </w:pPr>
    </w:p>
    <w:p w14:paraId="142552E5" w14:textId="77777777" w:rsidR="005C52A0" w:rsidRDefault="005C52A0" w:rsidP="00702853">
      <w:pPr>
        <w:jc w:val="center"/>
        <w:rPr>
          <w:rFonts w:ascii="Arial" w:hAnsi="Arial" w:cs="Arial"/>
          <w:b/>
        </w:rPr>
      </w:pPr>
    </w:p>
    <w:p w14:paraId="59CA0099" w14:textId="300B2A15" w:rsidR="00702853" w:rsidRDefault="00E62A34" w:rsidP="005C52A0">
      <w:pPr>
        <w:rPr>
          <w:rFonts w:ascii="Arial" w:hAnsi="Arial" w:cs="Arial"/>
          <w:b/>
        </w:rPr>
      </w:pPr>
      <w:r>
        <w:rPr>
          <w:rFonts w:ascii="Arial" w:hAnsi="Arial" w:cs="Arial"/>
          <w:b/>
        </w:rPr>
        <w:t xml:space="preserve">Prescribing of Benzodiazepines - </w:t>
      </w:r>
      <w:r w:rsidR="00702853" w:rsidRPr="00702853">
        <w:rPr>
          <w:rFonts w:ascii="Arial" w:hAnsi="Arial" w:cs="Arial"/>
          <w:b/>
        </w:rPr>
        <w:t>The Street Lane Practice</w:t>
      </w:r>
    </w:p>
    <w:p w14:paraId="3585DDE7" w14:textId="77777777" w:rsidR="00DB4BB6" w:rsidRDefault="00DB4BB6" w:rsidP="00702853">
      <w:pPr>
        <w:jc w:val="center"/>
        <w:rPr>
          <w:rFonts w:ascii="Arial" w:hAnsi="Arial" w:cs="Arial"/>
          <w:b/>
        </w:rPr>
      </w:pPr>
    </w:p>
    <w:p w14:paraId="6B9EA51B" w14:textId="77777777" w:rsidR="00702853" w:rsidRPr="00B00FA4" w:rsidRDefault="00702853" w:rsidP="00681E3E">
      <w:pPr>
        <w:rPr>
          <w:rFonts w:ascii="Arial" w:hAnsi="Arial" w:cs="Arial"/>
          <w:b/>
          <w:sz w:val="22"/>
          <w:szCs w:val="22"/>
        </w:rPr>
      </w:pPr>
    </w:p>
    <w:p w14:paraId="123E49A8" w14:textId="77777777" w:rsidR="00E62A34" w:rsidRPr="00E62A34" w:rsidRDefault="00E62A34" w:rsidP="00E62A34">
      <w:pPr>
        <w:rPr>
          <w:rFonts w:ascii="Arial" w:hAnsi="Arial" w:cs="Arial"/>
          <w:sz w:val="22"/>
          <w:szCs w:val="22"/>
        </w:rPr>
      </w:pPr>
      <w:r w:rsidRPr="00E62A34">
        <w:rPr>
          <w:rFonts w:ascii="Arial" w:hAnsi="Arial" w:cs="Arial"/>
          <w:sz w:val="22"/>
          <w:szCs w:val="22"/>
        </w:rPr>
        <w:t>As part of our commitment to providing the best possible care for our patients, The Street Lane Practice have made the decision to no longer prescribe benzodiazepines for fear of flying.</w:t>
      </w:r>
    </w:p>
    <w:p w14:paraId="17CE80F9" w14:textId="77777777" w:rsidR="00E62A34" w:rsidRPr="00E62A34" w:rsidRDefault="00E62A34" w:rsidP="00E62A34">
      <w:pPr>
        <w:rPr>
          <w:rFonts w:ascii="Arial" w:hAnsi="Arial" w:cs="Arial"/>
          <w:sz w:val="22"/>
          <w:szCs w:val="22"/>
        </w:rPr>
      </w:pPr>
    </w:p>
    <w:p w14:paraId="7A9C7FE1" w14:textId="77777777" w:rsidR="00E62A34" w:rsidRPr="00E62A34" w:rsidRDefault="00E62A34" w:rsidP="00E62A34">
      <w:pPr>
        <w:rPr>
          <w:rFonts w:ascii="Arial" w:hAnsi="Arial" w:cs="Arial"/>
          <w:sz w:val="22"/>
          <w:szCs w:val="22"/>
        </w:rPr>
      </w:pPr>
      <w:r w:rsidRPr="00E62A34">
        <w:rPr>
          <w:rFonts w:ascii="Arial" w:hAnsi="Arial" w:cs="Arial"/>
          <w:sz w:val="22"/>
          <w:szCs w:val="22"/>
        </w:rPr>
        <w:t>This change has been informed by current research, national guidelines, and our ongoing efforts to ensure patient safety, well-being, and long-term health. We will explain the reasons below behind this decision and offer alternative treatments to help.</w:t>
      </w:r>
    </w:p>
    <w:p w14:paraId="31087D9E" w14:textId="77777777" w:rsidR="00702853" w:rsidRPr="00E62A34" w:rsidRDefault="00702853" w:rsidP="00702853">
      <w:pPr>
        <w:jc w:val="both"/>
        <w:rPr>
          <w:rFonts w:ascii="Arial" w:hAnsi="Arial" w:cs="Arial"/>
          <w:sz w:val="22"/>
          <w:szCs w:val="22"/>
        </w:rPr>
      </w:pPr>
    </w:p>
    <w:p w14:paraId="462341CE" w14:textId="77777777" w:rsidR="00E50624" w:rsidRDefault="00E50624" w:rsidP="00727473">
      <w:pPr>
        <w:jc w:val="both"/>
        <w:rPr>
          <w:rFonts w:ascii="Arial" w:hAnsi="Arial" w:cs="Arial"/>
          <w:sz w:val="22"/>
          <w:szCs w:val="22"/>
        </w:rPr>
      </w:pPr>
    </w:p>
    <w:p w14:paraId="0C6AF094" w14:textId="07372161" w:rsidR="00E62A34" w:rsidRPr="00E62A34" w:rsidRDefault="00E62A34" w:rsidP="00E62A34">
      <w:pPr>
        <w:pStyle w:val="ListParagraph"/>
        <w:numPr>
          <w:ilvl w:val="0"/>
          <w:numId w:val="20"/>
        </w:numPr>
        <w:rPr>
          <w:rFonts w:ascii="Arial" w:hAnsi="Arial" w:cs="Arial"/>
          <w:b/>
          <w:bCs/>
        </w:rPr>
      </w:pPr>
      <w:r w:rsidRPr="00E62A34">
        <w:rPr>
          <w:rFonts w:ascii="Arial" w:hAnsi="Arial" w:cs="Arial"/>
          <w:b/>
          <w:bCs/>
        </w:rPr>
        <w:t>National Guidelines and Best Practice</w:t>
      </w:r>
    </w:p>
    <w:p w14:paraId="271FBA34" w14:textId="77777777" w:rsidR="00E62A34" w:rsidRPr="00E62A34" w:rsidRDefault="00E62A34" w:rsidP="00E62A34">
      <w:pPr>
        <w:pStyle w:val="ListParagraph"/>
        <w:ind w:left="1080"/>
        <w:rPr>
          <w:rFonts w:ascii="Arial" w:hAnsi="Arial" w:cs="Arial"/>
          <w:b/>
          <w:bCs/>
        </w:rPr>
      </w:pPr>
    </w:p>
    <w:p w14:paraId="7D9C1EBA" w14:textId="77777777" w:rsidR="00E62A34" w:rsidRPr="00E62A34" w:rsidRDefault="00E62A34" w:rsidP="00E62A34">
      <w:pPr>
        <w:rPr>
          <w:rFonts w:ascii="Arial" w:hAnsi="Arial" w:cs="Arial"/>
          <w:sz w:val="22"/>
          <w:szCs w:val="22"/>
        </w:rPr>
      </w:pPr>
      <w:r w:rsidRPr="00E62A34">
        <w:rPr>
          <w:rFonts w:ascii="Arial" w:hAnsi="Arial" w:cs="Arial"/>
          <w:sz w:val="22"/>
          <w:szCs w:val="22"/>
        </w:rPr>
        <w:t>The decision to stop prescribing benzodiazepines aligns with national guidelines, which emphasise caution in the use of these drugs. The National Institute for Health and Care Excellence (NICE) suggest that medication should not be used for mild and self-limiting mental health disorders. According to the prescribing guidelines doctors follow, British National Formulary (BNF), diazepam is contraindicated (not allowed) in treating phobic states. It also states that “the use of benzodiazepines to treat short-term ‘mild’ anxiety is inappropriate.” Your doctor would therefore be taking a significant legal risk by prescribing against these guidelines. </w:t>
      </w:r>
    </w:p>
    <w:p w14:paraId="64604710" w14:textId="77777777" w:rsidR="00E62A34" w:rsidRDefault="00E62A34" w:rsidP="00E62A34">
      <w:pPr>
        <w:rPr>
          <w:rFonts w:ascii="Arial" w:hAnsi="Arial" w:cs="Arial"/>
        </w:rPr>
      </w:pPr>
    </w:p>
    <w:p w14:paraId="6953B1EA" w14:textId="0AB1A708" w:rsidR="00E62A34" w:rsidRPr="00E62A34" w:rsidRDefault="00E62A34" w:rsidP="00E62A34">
      <w:pPr>
        <w:pStyle w:val="ListParagraph"/>
        <w:numPr>
          <w:ilvl w:val="0"/>
          <w:numId w:val="20"/>
        </w:numPr>
        <w:rPr>
          <w:rFonts w:ascii="Arial" w:hAnsi="Arial" w:cs="Arial"/>
          <w:b/>
          <w:bCs/>
        </w:rPr>
      </w:pPr>
      <w:r w:rsidRPr="00E62A34">
        <w:rPr>
          <w:rFonts w:ascii="Arial" w:hAnsi="Arial" w:cs="Arial"/>
          <w:b/>
          <w:bCs/>
        </w:rPr>
        <w:t>Side Effects and Safety Risks</w:t>
      </w:r>
    </w:p>
    <w:p w14:paraId="10403804" w14:textId="77777777" w:rsidR="00E62A34" w:rsidRPr="00E62A34" w:rsidRDefault="00E62A34" w:rsidP="00E62A34">
      <w:pPr>
        <w:pStyle w:val="ListParagraph"/>
        <w:ind w:left="502"/>
        <w:rPr>
          <w:rFonts w:ascii="Arial" w:hAnsi="Arial" w:cs="Arial"/>
          <w:b/>
          <w:bCs/>
        </w:rPr>
      </w:pPr>
    </w:p>
    <w:p w14:paraId="4ADD5106" w14:textId="77777777" w:rsidR="00E62A34" w:rsidRPr="00E62A34" w:rsidRDefault="00E62A34" w:rsidP="00E62A34">
      <w:pPr>
        <w:rPr>
          <w:rFonts w:ascii="Arial" w:hAnsi="Arial" w:cs="Arial"/>
          <w:sz w:val="22"/>
          <w:szCs w:val="22"/>
        </w:rPr>
      </w:pPr>
      <w:r w:rsidRPr="00E62A34">
        <w:rPr>
          <w:rFonts w:ascii="Arial" w:hAnsi="Arial" w:cs="Arial"/>
          <w:sz w:val="22"/>
          <w:szCs w:val="22"/>
        </w:rPr>
        <w:t>Benzodiazepines are associated with a range of side effects. These include drowsiness, dizziness, confusion, and impaired coordination. The use of any sort of benzodiazepines causes longer reaction times &amp; slowed thinking, which during a flight will put the passenger at significant risk of not being able to act in a manner which could save their life, or that of a loved one or co-passenger, in the event of a safety critical incident. Incapacitation from benzodiazepines is a risk to the lives of all on board the aircraft in the event of an emergency requiring evacuation.</w:t>
      </w:r>
    </w:p>
    <w:p w14:paraId="71087894" w14:textId="77777777" w:rsidR="00E62A34" w:rsidRPr="00E62A34" w:rsidRDefault="00E62A34" w:rsidP="00E62A34">
      <w:pPr>
        <w:rPr>
          <w:rFonts w:ascii="Arial" w:hAnsi="Arial" w:cs="Arial"/>
          <w:sz w:val="22"/>
          <w:szCs w:val="22"/>
        </w:rPr>
      </w:pPr>
    </w:p>
    <w:p w14:paraId="277A260D" w14:textId="77FCA4E7" w:rsidR="00E62A34" w:rsidRPr="00E62A34" w:rsidRDefault="00E62A34" w:rsidP="00E62A34">
      <w:pPr>
        <w:rPr>
          <w:rFonts w:ascii="Arial" w:hAnsi="Arial" w:cs="Arial"/>
          <w:sz w:val="22"/>
          <w:szCs w:val="22"/>
        </w:rPr>
      </w:pPr>
      <w:r w:rsidRPr="00E62A34">
        <w:rPr>
          <w:rFonts w:ascii="Arial" w:hAnsi="Arial" w:cs="Arial"/>
          <w:sz w:val="22"/>
          <w:szCs w:val="22"/>
        </w:rPr>
        <w:t>Additionally, the use of such sedative medications can make you fall asleep in an unnatural non-REM sleep. This results in you not moving around as much as during natural sleep which can cause you to be at an increased risk of developing a blood clot (Deep Vein Thrombosis – DVT) in the leg or even the lungs. Blood clots are very dangerous and can even prove fatal and this risk is even greater if your flight is greater than 4 hours.</w:t>
      </w:r>
    </w:p>
    <w:p w14:paraId="333CA270" w14:textId="77777777" w:rsidR="00E62A34" w:rsidRPr="00E62A34" w:rsidRDefault="00E62A34" w:rsidP="00E62A34">
      <w:pPr>
        <w:rPr>
          <w:rFonts w:ascii="Arial" w:hAnsi="Arial" w:cs="Arial"/>
          <w:sz w:val="22"/>
          <w:szCs w:val="22"/>
        </w:rPr>
      </w:pPr>
    </w:p>
    <w:p w14:paraId="14129685" w14:textId="77777777" w:rsidR="00E62A34" w:rsidRPr="00E62A34" w:rsidRDefault="00E62A34" w:rsidP="00E62A34">
      <w:pPr>
        <w:rPr>
          <w:rFonts w:ascii="Arial" w:hAnsi="Arial" w:cs="Arial"/>
          <w:sz w:val="22"/>
          <w:szCs w:val="22"/>
        </w:rPr>
      </w:pPr>
      <w:r w:rsidRPr="00E62A34">
        <w:rPr>
          <w:rFonts w:ascii="Arial" w:hAnsi="Arial" w:cs="Arial"/>
          <w:sz w:val="22"/>
          <w:szCs w:val="22"/>
        </w:rPr>
        <w:t>Whilst most people find benzodiazepines like diazepam sedating, a small number have paradoxical agitation and aggression. They can also cause disinhibition and lead you to behave in a way that you would not normally. This could impact on your safety as well as that of other passengers.</w:t>
      </w:r>
    </w:p>
    <w:p w14:paraId="790B2653" w14:textId="77777777" w:rsidR="00E62A34" w:rsidRPr="00E62A34" w:rsidRDefault="00E62A34" w:rsidP="00E62A34">
      <w:pPr>
        <w:rPr>
          <w:sz w:val="22"/>
          <w:szCs w:val="22"/>
        </w:rPr>
      </w:pPr>
    </w:p>
    <w:p w14:paraId="59FA8D0B" w14:textId="77777777" w:rsidR="00E62A34" w:rsidRDefault="00E62A34" w:rsidP="00E62A34">
      <w:pPr>
        <w:rPr>
          <w:sz w:val="22"/>
          <w:szCs w:val="22"/>
        </w:rPr>
      </w:pPr>
    </w:p>
    <w:p w14:paraId="423A5C62" w14:textId="77777777" w:rsidR="00E62A34" w:rsidRDefault="00E62A34" w:rsidP="00E62A34">
      <w:pPr>
        <w:rPr>
          <w:sz w:val="22"/>
          <w:szCs w:val="22"/>
        </w:rPr>
      </w:pPr>
    </w:p>
    <w:p w14:paraId="4640CA0E" w14:textId="77777777" w:rsidR="00E62A34" w:rsidRPr="00E62A34" w:rsidRDefault="00E62A34" w:rsidP="00E62A34">
      <w:pPr>
        <w:rPr>
          <w:sz w:val="22"/>
          <w:szCs w:val="22"/>
        </w:rPr>
      </w:pPr>
    </w:p>
    <w:p w14:paraId="684AE4DA" w14:textId="77777777" w:rsidR="00E62A34" w:rsidRDefault="00E62A34" w:rsidP="00E62A34"/>
    <w:p w14:paraId="28251EF8" w14:textId="18CA5F14" w:rsidR="00E62A34" w:rsidRPr="00E62A34" w:rsidRDefault="00E62A34" w:rsidP="00E62A34">
      <w:pPr>
        <w:pStyle w:val="ListParagraph"/>
        <w:numPr>
          <w:ilvl w:val="0"/>
          <w:numId w:val="20"/>
        </w:numPr>
        <w:rPr>
          <w:rFonts w:ascii="Arial" w:hAnsi="Arial" w:cs="Arial"/>
          <w:b/>
          <w:bCs/>
        </w:rPr>
      </w:pPr>
      <w:r w:rsidRPr="00E62A34">
        <w:rPr>
          <w:rFonts w:ascii="Arial" w:hAnsi="Arial" w:cs="Arial"/>
          <w:b/>
          <w:bCs/>
        </w:rPr>
        <w:lastRenderedPageBreak/>
        <w:t>Safer and More Effective Alternatives</w:t>
      </w:r>
    </w:p>
    <w:p w14:paraId="02A8978B" w14:textId="77777777" w:rsidR="00E62A34" w:rsidRPr="00E62A34" w:rsidRDefault="00E62A34" w:rsidP="00E62A34">
      <w:pPr>
        <w:rPr>
          <w:rFonts w:ascii="Arial" w:hAnsi="Arial" w:cs="Arial"/>
          <w:b/>
          <w:bCs/>
        </w:rPr>
      </w:pPr>
    </w:p>
    <w:p w14:paraId="3321E1D7" w14:textId="77777777" w:rsidR="00E62A34" w:rsidRPr="00E62A34" w:rsidRDefault="00E62A34" w:rsidP="00E62A34">
      <w:pPr>
        <w:rPr>
          <w:rFonts w:ascii="Arial" w:hAnsi="Arial" w:cs="Arial"/>
          <w:sz w:val="22"/>
          <w:szCs w:val="22"/>
        </w:rPr>
      </w:pPr>
      <w:r w:rsidRPr="00E62A34">
        <w:rPr>
          <w:rFonts w:ascii="Arial" w:hAnsi="Arial" w:cs="Arial"/>
          <w:sz w:val="22"/>
          <w:szCs w:val="22"/>
        </w:rPr>
        <w:t>In recent years, several alternative treatments for anxiety and phobias, including fear of flying, have been shown to be more effective and safer than benzodiazepines. Cognitive-behavioural therapy (CBT) is the gold standard for treating anxiety disorders, including specific phobias like fear of flying. CBT helps patients identify and challenge irrational thoughts and fears, and it incorporates exposure techniques to gradually reduce anxiety. For many patients, just a few sessions of CBT or specialised fear of flying programs (such as aviation-specific therapy) can significantly improve their ability to manage flying-related anxiety.</w:t>
      </w:r>
    </w:p>
    <w:p w14:paraId="2CC74A36" w14:textId="77777777" w:rsidR="00E62A34" w:rsidRPr="00E62A34" w:rsidRDefault="00E62A34" w:rsidP="00E62A34">
      <w:pPr>
        <w:rPr>
          <w:rFonts w:ascii="Arial" w:hAnsi="Arial" w:cs="Arial"/>
          <w:sz w:val="22"/>
          <w:szCs w:val="22"/>
        </w:rPr>
      </w:pPr>
    </w:p>
    <w:p w14:paraId="35E1D577" w14:textId="77777777" w:rsidR="00E62A34" w:rsidRPr="00E62A34" w:rsidRDefault="00E62A34" w:rsidP="00E62A34">
      <w:pPr>
        <w:rPr>
          <w:rFonts w:ascii="Arial" w:hAnsi="Arial" w:cs="Arial"/>
          <w:sz w:val="22"/>
          <w:szCs w:val="22"/>
        </w:rPr>
      </w:pPr>
      <w:r w:rsidRPr="00E62A34">
        <w:rPr>
          <w:rFonts w:ascii="Arial" w:hAnsi="Arial" w:cs="Arial"/>
          <w:sz w:val="22"/>
          <w:szCs w:val="22"/>
        </w:rPr>
        <w:t>In some cases, selective serotonin reuptake inhibitors (SSRIs) or other non-habit-forming medications may be prescribed for patients who require pharmacological support for anxiety, particularly when fear of flying is part of a broader anxiety disorder. These medications do not carry the same risks of dependence and are more suited for long-term management.</w:t>
      </w:r>
    </w:p>
    <w:p w14:paraId="0B679A87" w14:textId="77777777" w:rsidR="00E62A34" w:rsidRPr="00E62A34" w:rsidRDefault="00E62A34" w:rsidP="00E62A34">
      <w:pPr>
        <w:rPr>
          <w:rFonts w:ascii="Arial" w:hAnsi="Arial" w:cs="Arial"/>
          <w:sz w:val="22"/>
          <w:szCs w:val="22"/>
        </w:rPr>
      </w:pPr>
    </w:p>
    <w:p w14:paraId="33C70056" w14:textId="77777777" w:rsidR="00E62A34" w:rsidRPr="00E62A34" w:rsidRDefault="00E62A34" w:rsidP="00E62A34">
      <w:pPr>
        <w:rPr>
          <w:rFonts w:ascii="Arial" w:hAnsi="Arial" w:cs="Arial"/>
          <w:sz w:val="22"/>
          <w:szCs w:val="22"/>
        </w:rPr>
      </w:pPr>
      <w:r w:rsidRPr="00E62A34">
        <w:rPr>
          <w:rFonts w:ascii="Arial" w:hAnsi="Arial" w:cs="Arial"/>
          <w:sz w:val="22"/>
          <w:szCs w:val="22"/>
        </w:rPr>
        <w:t xml:space="preserve">Given the above we are no longer prescribing benzodiazepines for flying. Instead, we will focus on evidence-based treatments that address the underlying causes of anxiety and phobias, such as CBT and other non-habit-forming medications. </w:t>
      </w:r>
    </w:p>
    <w:p w14:paraId="3EBD550A" w14:textId="77777777" w:rsidR="00E62A34" w:rsidRPr="00E62A34" w:rsidRDefault="00E62A34" w:rsidP="00E62A34">
      <w:pPr>
        <w:rPr>
          <w:rFonts w:ascii="Arial" w:hAnsi="Arial" w:cs="Arial"/>
          <w:sz w:val="22"/>
          <w:szCs w:val="22"/>
        </w:rPr>
      </w:pPr>
    </w:p>
    <w:p w14:paraId="7464AF5E" w14:textId="02E5A37B" w:rsidR="00E62A34" w:rsidRPr="00E62A34" w:rsidRDefault="00E62A34" w:rsidP="00E62A34">
      <w:pPr>
        <w:rPr>
          <w:rFonts w:ascii="Arial" w:hAnsi="Arial" w:cs="Arial"/>
          <w:sz w:val="22"/>
          <w:szCs w:val="22"/>
        </w:rPr>
      </w:pPr>
      <w:r w:rsidRPr="00E62A34">
        <w:rPr>
          <w:rFonts w:ascii="Arial" w:hAnsi="Arial" w:cs="Arial"/>
          <w:sz w:val="22"/>
          <w:szCs w:val="22"/>
        </w:rPr>
        <w:t>We also would suggest the below aviation industry recommended flight anxiety courses which are easily accessible for those who wish to fly &amp; conquer their fear of flying:</w:t>
      </w:r>
    </w:p>
    <w:p w14:paraId="734AC78E" w14:textId="77777777" w:rsidR="00E62A34" w:rsidRPr="00E62A34" w:rsidRDefault="00E62A34" w:rsidP="00E62A34">
      <w:pPr>
        <w:rPr>
          <w:rFonts w:ascii="Arial" w:hAnsi="Arial" w:cs="Arial"/>
        </w:rPr>
      </w:pPr>
    </w:p>
    <w:p w14:paraId="55A897F7" w14:textId="77777777" w:rsidR="00E62A34" w:rsidRPr="00513ABB" w:rsidRDefault="00E62A34" w:rsidP="00E62A34">
      <w:r w:rsidRPr="00513ABB">
        <w:rPr>
          <w:b/>
          <w:bCs/>
        </w:rPr>
        <w:t>Easy Jet</w:t>
      </w:r>
      <w:r w:rsidRPr="00513ABB">
        <w:t> - </w:t>
      </w:r>
      <w:hyperlink r:id="rId11" w:tgtFrame="_blank" w:history="1">
        <w:r w:rsidRPr="00513ABB">
          <w:rPr>
            <w:rStyle w:val="Hyperlink"/>
            <w:b/>
            <w:bCs/>
          </w:rPr>
          <w:t>Fear of flying course | Fearless Flyer (easyjet.com)</w:t>
        </w:r>
      </w:hyperlink>
    </w:p>
    <w:p w14:paraId="3FDAD172" w14:textId="77777777" w:rsidR="00E62A34" w:rsidRPr="00513ABB" w:rsidRDefault="00E62A34" w:rsidP="00E62A34">
      <w:r w:rsidRPr="00513ABB">
        <w:rPr>
          <w:b/>
          <w:bCs/>
        </w:rPr>
        <w:t>British Airways</w:t>
      </w:r>
      <w:r w:rsidRPr="00513ABB">
        <w:t> - </w:t>
      </w:r>
      <w:hyperlink r:id="rId12" w:tgtFrame="_blank" w:history="1">
        <w:r w:rsidRPr="00513ABB">
          <w:rPr>
            <w:rStyle w:val="Hyperlink"/>
            <w:b/>
            <w:bCs/>
          </w:rPr>
          <w:t>Flying with Confidence | Special assistance | British Airways</w:t>
        </w:r>
      </w:hyperlink>
    </w:p>
    <w:p w14:paraId="48A1DFC6" w14:textId="77777777" w:rsidR="00E62A34" w:rsidRDefault="00E62A34" w:rsidP="00E62A34">
      <w:pPr>
        <w:rPr>
          <w:rStyle w:val="Hyperlink"/>
          <w:b/>
          <w:bCs/>
        </w:rPr>
      </w:pPr>
      <w:r w:rsidRPr="00513ABB">
        <w:rPr>
          <w:b/>
          <w:bCs/>
        </w:rPr>
        <w:t>Flying Without Fear</w:t>
      </w:r>
      <w:r w:rsidRPr="00513ABB">
        <w:t> - </w:t>
      </w:r>
      <w:hyperlink r:id="rId13" w:tgtFrame="_blank" w:history="1">
        <w:r w:rsidRPr="00513ABB">
          <w:rPr>
            <w:rStyle w:val="Hyperlink"/>
            <w:b/>
            <w:bCs/>
          </w:rPr>
          <w:t>Flying Without Fear | Courses to Conquer Your Fear of Flying</w:t>
        </w:r>
      </w:hyperlink>
    </w:p>
    <w:p w14:paraId="3CF5ED4E" w14:textId="77777777" w:rsidR="00E62A34" w:rsidRDefault="00E62A34" w:rsidP="00E62A34"/>
    <w:p w14:paraId="05129536" w14:textId="77777777" w:rsidR="00E62A34" w:rsidRPr="00E62A34" w:rsidRDefault="00E62A34" w:rsidP="00E62A34">
      <w:pPr>
        <w:rPr>
          <w:rFonts w:ascii="Arial" w:hAnsi="Arial" w:cs="Arial"/>
          <w:sz w:val="22"/>
          <w:szCs w:val="22"/>
        </w:rPr>
      </w:pPr>
      <w:r w:rsidRPr="00E62A34">
        <w:rPr>
          <w:rFonts w:ascii="Arial" w:hAnsi="Arial" w:cs="Arial"/>
          <w:sz w:val="22"/>
          <w:szCs w:val="22"/>
        </w:rPr>
        <w:t>Patients who still wish to take benzodiazepines for flight anxiety are advised to consult with a private GP or travel clinic. It is important to declare all medical conditions and medications you take to your travel insurer. If not, there is a risk of nullifying any insurance policy you may have.</w:t>
      </w:r>
    </w:p>
    <w:p w14:paraId="34F2E9C5" w14:textId="77777777" w:rsidR="00E62A34" w:rsidRPr="00E62A34" w:rsidRDefault="00E62A34" w:rsidP="00E62A34">
      <w:pPr>
        <w:rPr>
          <w:rFonts w:ascii="Arial" w:hAnsi="Arial" w:cs="Arial"/>
          <w:sz w:val="22"/>
          <w:szCs w:val="22"/>
        </w:rPr>
      </w:pPr>
    </w:p>
    <w:p w14:paraId="260F0340" w14:textId="0850EA44" w:rsidR="00AD517A" w:rsidRDefault="00AD517A" w:rsidP="00AD517A">
      <w:pPr>
        <w:pStyle w:val="ListParagraph"/>
        <w:numPr>
          <w:ilvl w:val="0"/>
          <w:numId w:val="20"/>
        </w:numPr>
        <w:rPr>
          <w:rFonts w:ascii="Arial" w:hAnsi="Arial" w:cs="Arial"/>
          <w:b/>
          <w:bCs/>
        </w:rPr>
      </w:pPr>
      <w:r>
        <w:rPr>
          <w:rFonts w:ascii="Arial" w:hAnsi="Arial" w:cs="Arial"/>
          <w:b/>
          <w:bCs/>
        </w:rPr>
        <w:t>Prescribing for Dental Procedures</w:t>
      </w:r>
    </w:p>
    <w:p w14:paraId="369087E4" w14:textId="77777777" w:rsidR="00AD517A" w:rsidRPr="00AD517A" w:rsidRDefault="00AD517A" w:rsidP="00AD517A">
      <w:pPr>
        <w:pStyle w:val="ListParagraph"/>
        <w:ind w:left="502"/>
        <w:rPr>
          <w:rFonts w:ascii="Arial" w:hAnsi="Arial" w:cs="Arial"/>
          <w:b/>
          <w:bCs/>
        </w:rPr>
      </w:pPr>
    </w:p>
    <w:p w14:paraId="78E8E1C8" w14:textId="77777777" w:rsidR="00E62A34" w:rsidRDefault="00E62A34" w:rsidP="00E62A34">
      <w:pPr>
        <w:rPr>
          <w:rFonts w:ascii="Arial" w:hAnsi="Arial" w:cs="Arial"/>
          <w:sz w:val="22"/>
          <w:szCs w:val="22"/>
        </w:rPr>
      </w:pPr>
      <w:r w:rsidRPr="00AD517A">
        <w:rPr>
          <w:rFonts w:ascii="Arial" w:hAnsi="Arial" w:cs="Arial"/>
          <w:sz w:val="22"/>
          <w:szCs w:val="22"/>
        </w:rPr>
        <w:t>Dentists should not direct patients to GPs requesting they prescribes sedating medications, such as diazepam. If a dentist wishes to prescribe sedating medications for anxious patients that dentist should be responsible for issuing the prescription. The dental practitioner’s formulary, which is the list of drugs a dentist can prescribe is found on the </w:t>
      </w:r>
      <w:hyperlink r:id="rId14" w:history="1">
        <w:r w:rsidRPr="00AD517A">
          <w:rPr>
            <w:rFonts w:ascii="Arial" w:hAnsi="Arial" w:cs="Arial"/>
            <w:sz w:val="22"/>
            <w:szCs w:val="22"/>
          </w:rPr>
          <w:t>BNF dental practitioners formulary</w:t>
        </w:r>
      </w:hyperlink>
      <w:r w:rsidRPr="00AD517A">
        <w:rPr>
          <w:rFonts w:ascii="Arial" w:hAnsi="Arial" w:cs="Arial"/>
          <w:sz w:val="22"/>
          <w:szCs w:val="22"/>
        </w:rPr>
        <w:t>, includes Diazepam Tablets and Oral Solution. </w:t>
      </w:r>
    </w:p>
    <w:p w14:paraId="5653B200" w14:textId="77777777" w:rsidR="00AD517A" w:rsidRPr="00AD517A" w:rsidRDefault="00AD517A" w:rsidP="00E62A34">
      <w:pPr>
        <w:rPr>
          <w:rFonts w:ascii="Arial" w:hAnsi="Arial" w:cs="Arial"/>
          <w:sz w:val="22"/>
          <w:szCs w:val="22"/>
        </w:rPr>
      </w:pPr>
    </w:p>
    <w:p w14:paraId="192AA1DB" w14:textId="77777777" w:rsidR="00E62A34" w:rsidRPr="00AD517A" w:rsidRDefault="00E62A34" w:rsidP="00E62A34">
      <w:pPr>
        <w:rPr>
          <w:rFonts w:ascii="Arial" w:hAnsi="Arial" w:cs="Arial"/>
          <w:sz w:val="22"/>
          <w:szCs w:val="22"/>
        </w:rPr>
      </w:pPr>
      <w:r w:rsidRPr="00AD517A">
        <w:rPr>
          <w:rFonts w:ascii="Arial" w:hAnsi="Arial" w:cs="Arial"/>
          <w:sz w:val="22"/>
          <w:szCs w:val="22"/>
        </w:rPr>
        <w:t>If the dentist is treating a patient within their practice NHS contract, then the prescription should be on a FP14D form. If the dentist is treating a patient privately, they should issue a private prescription. Dentists may contact a GP for information or advice, if, for example the patient has a complex medical history.</w:t>
      </w:r>
    </w:p>
    <w:p w14:paraId="14FFB582" w14:textId="77777777" w:rsidR="00A579D0" w:rsidRPr="00AD517A" w:rsidRDefault="00A579D0" w:rsidP="00E11AB4">
      <w:pPr>
        <w:spacing w:after="120"/>
        <w:rPr>
          <w:rFonts w:ascii="Arial" w:hAnsi="Arial" w:cs="Arial"/>
          <w:sz w:val="22"/>
          <w:szCs w:val="22"/>
        </w:rPr>
      </w:pPr>
    </w:p>
    <w:p w14:paraId="5ADF53B3" w14:textId="3CDE317B" w:rsidR="00A579D0" w:rsidRDefault="00A579D0" w:rsidP="00E11AB4">
      <w:pPr>
        <w:spacing w:after="120"/>
        <w:rPr>
          <w:rFonts w:ascii="Calibri" w:hAnsi="Calibri" w:cs="Calibri"/>
          <w:b/>
        </w:rPr>
      </w:pPr>
    </w:p>
    <w:sectPr w:rsidR="00A579D0">
      <w:headerReference w:type="default" r:id="rId15"/>
      <w:footerReference w:type="even"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8D025" w14:textId="77777777" w:rsidR="00AB6288" w:rsidRDefault="00AB6288">
      <w:r>
        <w:separator/>
      </w:r>
    </w:p>
  </w:endnote>
  <w:endnote w:type="continuationSeparator" w:id="0">
    <w:p w14:paraId="203A0EC0" w14:textId="77777777" w:rsidR="00AB6288" w:rsidRDefault="00AB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08ED" w14:textId="77777777" w:rsidR="00331714" w:rsidRDefault="00331714" w:rsidP="003A04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9469C" w14:textId="77777777" w:rsidR="00331714" w:rsidRDefault="00331714" w:rsidP="00E56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5F66" w14:textId="77777777" w:rsidR="00331714" w:rsidRDefault="00331714" w:rsidP="003A04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4BF">
      <w:rPr>
        <w:rStyle w:val="PageNumber"/>
        <w:noProof/>
      </w:rPr>
      <w:t>11</w:t>
    </w:r>
    <w:r>
      <w:rPr>
        <w:rStyle w:val="PageNumber"/>
      </w:rPr>
      <w:fldChar w:fldCharType="end"/>
    </w:r>
  </w:p>
  <w:p w14:paraId="0B00CAFD" w14:textId="6F0691B1" w:rsidR="00331714" w:rsidRPr="007221B5" w:rsidRDefault="00331714" w:rsidP="005C52A0">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368E7" w14:textId="77777777" w:rsidR="00AB6288" w:rsidRDefault="00AB6288">
      <w:r>
        <w:separator/>
      </w:r>
    </w:p>
  </w:footnote>
  <w:footnote w:type="continuationSeparator" w:id="0">
    <w:p w14:paraId="7AA74386" w14:textId="77777777" w:rsidR="00AB6288" w:rsidRDefault="00AB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45AF" w14:textId="77777777" w:rsidR="00681E3E" w:rsidRDefault="00681E3E">
    <w:pPr>
      <w:pStyle w:val="Header"/>
    </w:pPr>
    <w:r>
      <w:rPr>
        <w:noProof/>
      </w:rPr>
      <w:drawing>
        <wp:inline distT="0" distB="0" distL="0" distR="0" wp14:anchorId="43A64939" wp14:editId="32F625D5">
          <wp:extent cx="2447925" cy="690277"/>
          <wp:effectExtent l="0" t="0" r="0" b="0"/>
          <wp:docPr id="5" name="Picture 5" descr="ST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Logo_Col"/>
                  <pic:cNvPicPr>
                    <a:picLocks noChangeAspect="1" noChangeArrowheads="1"/>
                  </pic:cNvPicPr>
                </pic:nvPicPr>
                <pic:blipFill>
                  <a:blip r:embed="rId1">
                    <a:extLst>
                      <a:ext uri="{28A0092B-C50C-407E-A947-70E740481C1C}">
                        <a14:useLocalDpi xmlns:a14="http://schemas.microsoft.com/office/drawing/2010/main" val="0"/>
                      </a:ext>
                    </a:extLst>
                  </a:blip>
                  <a:srcRect l="20201" t="38084" r="20201" b="38084"/>
                  <a:stretch>
                    <a:fillRect/>
                  </a:stretch>
                </pic:blipFill>
                <pic:spPr bwMode="auto">
                  <a:xfrm>
                    <a:off x="0" y="0"/>
                    <a:ext cx="2465689" cy="695286"/>
                  </a:xfrm>
                  <a:prstGeom prst="rect">
                    <a:avLst/>
                  </a:prstGeom>
                  <a:noFill/>
                  <a:ln>
                    <a:noFill/>
                  </a:ln>
                </pic:spPr>
              </pic:pic>
            </a:graphicData>
          </a:graphic>
        </wp:inline>
      </w:drawing>
    </w:r>
  </w:p>
  <w:p w14:paraId="3C703DE4" w14:textId="77777777" w:rsidR="00681E3E" w:rsidRDefault="00681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F3D6C"/>
    <w:multiLevelType w:val="hybridMultilevel"/>
    <w:tmpl w:val="2F12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0302D"/>
    <w:multiLevelType w:val="hybridMultilevel"/>
    <w:tmpl w:val="F47492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06C6D"/>
    <w:multiLevelType w:val="hybridMultilevel"/>
    <w:tmpl w:val="A49435F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29696E"/>
    <w:multiLevelType w:val="hybridMultilevel"/>
    <w:tmpl w:val="7B90A5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04035"/>
    <w:multiLevelType w:val="hybridMultilevel"/>
    <w:tmpl w:val="C49C33F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AC53805"/>
    <w:multiLevelType w:val="hybridMultilevel"/>
    <w:tmpl w:val="C1DA5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B389E"/>
    <w:multiLevelType w:val="hybridMultilevel"/>
    <w:tmpl w:val="75B08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B067483"/>
    <w:multiLevelType w:val="hybridMultilevel"/>
    <w:tmpl w:val="08307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97AA8"/>
    <w:multiLevelType w:val="hybridMultilevel"/>
    <w:tmpl w:val="B1A21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E5DCA"/>
    <w:multiLevelType w:val="hybridMultilevel"/>
    <w:tmpl w:val="BB6480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E1522"/>
    <w:multiLevelType w:val="hybridMultilevel"/>
    <w:tmpl w:val="65BAEA20"/>
    <w:lvl w:ilvl="0" w:tplc="06DEB34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5EA0DE7"/>
    <w:multiLevelType w:val="hybridMultilevel"/>
    <w:tmpl w:val="6FEADD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41E11"/>
    <w:multiLevelType w:val="hybridMultilevel"/>
    <w:tmpl w:val="3C70E4E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F7912"/>
    <w:multiLevelType w:val="hybridMultilevel"/>
    <w:tmpl w:val="E6606E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574ED9"/>
    <w:multiLevelType w:val="multilevel"/>
    <w:tmpl w:val="3A6EECB8"/>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5602DD0"/>
    <w:multiLevelType w:val="hybridMultilevel"/>
    <w:tmpl w:val="6D561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459D2"/>
    <w:multiLevelType w:val="hybridMultilevel"/>
    <w:tmpl w:val="CC36CB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546E64"/>
    <w:multiLevelType w:val="hybridMultilevel"/>
    <w:tmpl w:val="7F28B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34A0D"/>
    <w:multiLevelType w:val="hybridMultilevel"/>
    <w:tmpl w:val="3A6EECB8"/>
    <w:lvl w:ilvl="0" w:tplc="08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5F543D7"/>
    <w:multiLevelType w:val="hybridMultilevel"/>
    <w:tmpl w:val="C3BC8B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8D4863"/>
    <w:multiLevelType w:val="hybridMultilevel"/>
    <w:tmpl w:val="65BAEA2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616643060">
    <w:abstractNumId w:val="9"/>
  </w:num>
  <w:num w:numId="2" w16cid:durableId="2130123765">
    <w:abstractNumId w:val="19"/>
  </w:num>
  <w:num w:numId="3" w16cid:durableId="657466191">
    <w:abstractNumId w:val="11"/>
  </w:num>
  <w:num w:numId="4" w16cid:durableId="1719166987">
    <w:abstractNumId w:val="1"/>
  </w:num>
  <w:num w:numId="5" w16cid:durableId="213584407">
    <w:abstractNumId w:val="3"/>
  </w:num>
  <w:num w:numId="6" w16cid:durableId="977150727">
    <w:abstractNumId w:val="16"/>
  </w:num>
  <w:num w:numId="7" w16cid:durableId="28342945">
    <w:abstractNumId w:val="4"/>
  </w:num>
  <w:num w:numId="8" w16cid:durableId="332298905">
    <w:abstractNumId w:val="7"/>
  </w:num>
  <w:num w:numId="9" w16cid:durableId="29258135">
    <w:abstractNumId w:val="12"/>
  </w:num>
  <w:num w:numId="10" w16cid:durableId="812021714">
    <w:abstractNumId w:val="18"/>
  </w:num>
  <w:num w:numId="11" w16cid:durableId="1575429494">
    <w:abstractNumId w:val="14"/>
  </w:num>
  <w:num w:numId="12" w16cid:durableId="1754548055">
    <w:abstractNumId w:val="6"/>
  </w:num>
  <w:num w:numId="13" w16cid:durableId="1154026967">
    <w:abstractNumId w:val="13"/>
  </w:num>
  <w:num w:numId="14" w16cid:durableId="1676836843">
    <w:abstractNumId w:val="0"/>
  </w:num>
  <w:num w:numId="15" w16cid:durableId="2092851746">
    <w:abstractNumId w:val="8"/>
  </w:num>
  <w:num w:numId="16" w16cid:durableId="385833018">
    <w:abstractNumId w:val="17"/>
  </w:num>
  <w:num w:numId="17" w16cid:durableId="1402603783">
    <w:abstractNumId w:val="2"/>
  </w:num>
  <w:num w:numId="18" w16cid:durableId="846406409">
    <w:abstractNumId w:val="15"/>
  </w:num>
  <w:num w:numId="19" w16cid:durableId="851381483">
    <w:abstractNumId w:val="5"/>
  </w:num>
  <w:num w:numId="20" w16cid:durableId="1911309763">
    <w:abstractNumId w:val="10"/>
  </w:num>
  <w:num w:numId="21" w16cid:durableId="10404737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53"/>
    <w:rsid w:val="00013968"/>
    <w:rsid w:val="00017DE5"/>
    <w:rsid w:val="0002220F"/>
    <w:rsid w:val="00034870"/>
    <w:rsid w:val="00041765"/>
    <w:rsid w:val="000A0A7C"/>
    <w:rsid w:val="000C3184"/>
    <w:rsid w:val="000C5473"/>
    <w:rsid w:val="000D596E"/>
    <w:rsid w:val="000E322D"/>
    <w:rsid w:val="000E4EFB"/>
    <w:rsid w:val="00115865"/>
    <w:rsid w:val="00133AD5"/>
    <w:rsid w:val="00151894"/>
    <w:rsid w:val="0015291A"/>
    <w:rsid w:val="0015459C"/>
    <w:rsid w:val="0016063E"/>
    <w:rsid w:val="001654AA"/>
    <w:rsid w:val="00177141"/>
    <w:rsid w:val="00185A09"/>
    <w:rsid w:val="001B30CB"/>
    <w:rsid w:val="001B3187"/>
    <w:rsid w:val="001B4FFC"/>
    <w:rsid w:val="001B71D0"/>
    <w:rsid w:val="001D772C"/>
    <w:rsid w:val="001E467E"/>
    <w:rsid w:val="001E5D48"/>
    <w:rsid w:val="00212AF7"/>
    <w:rsid w:val="00222583"/>
    <w:rsid w:val="00244E0B"/>
    <w:rsid w:val="00247346"/>
    <w:rsid w:val="002476AF"/>
    <w:rsid w:val="00261970"/>
    <w:rsid w:val="002649CF"/>
    <w:rsid w:val="002709EC"/>
    <w:rsid w:val="002F059F"/>
    <w:rsid w:val="002F361C"/>
    <w:rsid w:val="003228FE"/>
    <w:rsid w:val="00331714"/>
    <w:rsid w:val="00342E3C"/>
    <w:rsid w:val="003474AD"/>
    <w:rsid w:val="00347C6B"/>
    <w:rsid w:val="003A04B2"/>
    <w:rsid w:val="003A5BBA"/>
    <w:rsid w:val="003D1A24"/>
    <w:rsid w:val="00422E86"/>
    <w:rsid w:val="00426B49"/>
    <w:rsid w:val="00447A75"/>
    <w:rsid w:val="00453AA2"/>
    <w:rsid w:val="00456500"/>
    <w:rsid w:val="004A0DEE"/>
    <w:rsid w:val="004D7327"/>
    <w:rsid w:val="0050210C"/>
    <w:rsid w:val="0051767E"/>
    <w:rsid w:val="005232A1"/>
    <w:rsid w:val="005A2619"/>
    <w:rsid w:val="005C52A0"/>
    <w:rsid w:val="005E0E7B"/>
    <w:rsid w:val="00601417"/>
    <w:rsid w:val="0061058F"/>
    <w:rsid w:val="006162F2"/>
    <w:rsid w:val="006201EC"/>
    <w:rsid w:val="00620DD0"/>
    <w:rsid w:val="00626ADE"/>
    <w:rsid w:val="00654C04"/>
    <w:rsid w:val="00663E30"/>
    <w:rsid w:val="00681E3E"/>
    <w:rsid w:val="00690CC5"/>
    <w:rsid w:val="006E7668"/>
    <w:rsid w:val="006F1B35"/>
    <w:rsid w:val="006F72A7"/>
    <w:rsid w:val="00702853"/>
    <w:rsid w:val="00706B3E"/>
    <w:rsid w:val="007221B5"/>
    <w:rsid w:val="00727473"/>
    <w:rsid w:val="00733D8B"/>
    <w:rsid w:val="00736F4E"/>
    <w:rsid w:val="00751B2B"/>
    <w:rsid w:val="007A69DD"/>
    <w:rsid w:val="007C22BB"/>
    <w:rsid w:val="007C6A44"/>
    <w:rsid w:val="007C6F93"/>
    <w:rsid w:val="007E100F"/>
    <w:rsid w:val="007E143C"/>
    <w:rsid w:val="007F5373"/>
    <w:rsid w:val="008109F5"/>
    <w:rsid w:val="00841DA6"/>
    <w:rsid w:val="00847314"/>
    <w:rsid w:val="0085200F"/>
    <w:rsid w:val="00887AC1"/>
    <w:rsid w:val="008A0DC6"/>
    <w:rsid w:val="008A561C"/>
    <w:rsid w:val="008D5B9E"/>
    <w:rsid w:val="008D63DE"/>
    <w:rsid w:val="008F04E1"/>
    <w:rsid w:val="00920886"/>
    <w:rsid w:val="00922C4B"/>
    <w:rsid w:val="00944136"/>
    <w:rsid w:val="00944975"/>
    <w:rsid w:val="00951778"/>
    <w:rsid w:val="009A7C00"/>
    <w:rsid w:val="009E7E4E"/>
    <w:rsid w:val="00A579D0"/>
    <w:rsid w:val="00AB6288"/>
    <w:rsid w:val="00AB7B9C"/>
    <w:rsid w:val="00AD13CC"/>
    <w:rsid w:val="00AD517A"/>
    <w:rsid w:val="00AD63FB"/>
    <w:rsid w:val="00AE0E44"/>
    <w:rsid w:val="00AE42C1"/>
    <w:rsid w:val="00AF4174"/>
    <w:rsid w:val="00B00FA4"/>
    <w:rsid w:val="00B01220"/>
    <w:rsid w:val="00B35738"/>
    <w:rsid w:val="00B60BB3"/>
    <w:rsid w:val="00B64A0A"/>
    <w:rsid w:val="00B92AF2"/>
    <w:rsid w:val="00B95FCB"/>
    <w:rsid w:val="00BC6931"/>
    <w:rsid w:val="00BD4A4D"/>
    <w:rsid w:val="00BD70EF"/>
    <w:rsid w:val="00C050DC"/>
    <w:rsid w:val="00C86BBB"/>
    <w:rsid w:val="00CB32C4"/>
    <w:rsid w:val="00CB38EF"/>
    <w:rsid w:val="00CB4DBE"/>
    <w:rsid w:val="00CF1155"/>
    <w:rsid w:val="00CF316E"/>
    <w:rsid w:val="00D0518F"/>
    <w:rsid w:val="00D834A9"/>
    <w:rsid w:val="00D856CA"/>
    <w:rsid w:val="00D961A9"/>
    <w:rsid w:val="00DB3018"/>
    <w:rsid w:val="00DB4BB6"/>
    <w:rsid w:val="00DC7C5F"/>
    <w:rsid w:val="00DD3CB5"/>
    <w:rsid w:val="00DD5404"/>
    <w:rsid w:val="00DF6B60"/>
    <w:rsid w:val="00E0280F"/>
    <w:rsid w:val="00E10232"/>
    <w:rsid w:val="00E11AB4"/>
    <w:rsid w:val="00E367B6"/>
    <w:rsid w:val="00E44974"/>
    <w:rsid w:val="00E44BDC"/>
    <w:rsid w:val="00E50624"/>
    <w:rsid w:val="00E543C9"/>
    <w:rsid w:val="00E563D7"/>
    <w:rsid w:val="00E56980"/>
    <w:rsid w:val="00E62A34"/>
    <w:rsid w:val="00E65EED"/>
    <w:rsid w:val="00E84F98"/>
    <w:rsid w:val="00E95421"/>
    <w:rsid w:val="00EA2224"/>
    <w:rsid w:val="00EA334F"/>
    <w:rsid w:val="00EA4283"/>
    <w:rsid w:val="00F05BCF"/>
    <w:rsid w:val="00F104BF"/>
    <w:rsid w:val="00F25DDE"/>
    <w:rsid w:val="00F552BF"/>
    <w:rsid w:val="00F60B41"/>
    <w:rsid w:val="00F70132"/>
    <w:rsid w:val="00F94EDC"/>
    <w:rsid w:val="00F96547"/>
    <w:rsid w:val="00FA0C82"/>
    <w:rsid w:val="00FA2C10"/>
    <w:rsid w:val="00FA5DE1"/>
    <w:rsid w:val="00FC1DD9"/>
    <w:rsid w:val="00FD12A3"/>
    <w:rsid w:val="00FD2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B8576"/>
  <w15:docId w15:val="{13B742DC-5803-4F72-B65F-2334D42B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1B5"/>
    <w:pPr>
      <w:tabs>
        <w:tab w:val="center" w:pos="4153"/>
        <w:tab w:val="right" w:pos="8306"/>
      </w:tabs>
    </w:pPr>
  </w:style>
  <w:style w:type="paragraph" w:styleId="Footer">
    <w:name w:val="footer"/>
    <w:basedOn w:val="Normal"/>
    <w:rsid w:val="007221B5"/>
    <w:pPr>
      <w:tabs>
        <w:tab w:val="center" w:pos="4153"/>
        <w:tab w:val="right" w:pos="8306"/>
      </w:tabs>
    </w:pPr>
  </w:style>
  <w:style w:type="character" w:styleId="PageNumber">
    <w:name w:val="page number"/>
    <w:basedOn w:val="DefaultParagraphFont"/>
    <w:rsid w:val="00E563D7"/>
  </w:style>
  <w:style w:type="character" w:styleId="Hyperlink">
    <w:name w:val="Hyperlink"/>
    <w:rsid w:val="00B60BB3"/>
    <w:rPr>
      <w:color w:val="0000FF"/>
      <w:u w:val="single"/>
    </w:rPr>
  </w:style>
  <w:style w:type="table" w:styleId="TableGrid">
    <w:name w:val="Table Grid"/>
    <w:basedOn w:val="TableNormal"/>
    <w:uiPriority w:val="39"/>
    <w:rsid w:val="00F7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8">
    <w:name w:val="Table List 8"/>
    <w:basedOn w:val="TableNormal"/>
    <w:rsid w:val="00F7013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alloonText">
    <w:name w:val="Balloon Text"/>
    <w:basedOn w:val="Normal"/>
    <w:link w:val="BalloonTextChar"/>
    <w:rsid w:val="00B01220"/>
    <w:rPr>
      <w:rFonts w:ascii="Tahoma" w:hAnsi="Tahoma" w:cs="Tahoma"/>
      <w:sz w:val="16"/>
      <w:szCs w:val="16"/>
    </w:rPr>
  </w:style>
  <w:style w:type="character" w:customStyle="1" w:styleId="BalloonTextChar">
    <w:name w:val="Balloon Text Char"/>
    <w:basedOn w:val="DefaultParagraphFont"/>
    <w:link w:val="BalloonText"/>
    <w:rsid w:val="00B01220"/>
    <w:rPr>
      <w:rFonts w:ascii="Tahoma" w:hAnsi="Tahoma" w:cs="Tahoma"/>
      <w:sz w:val="16"/>
      <w:szCs w:val="16"/>
    </w:rPr>
  </w:style>
  <w:style w:type="paragraph" w:styleId="ListParagraph">
    <w:name w:val="List Paragraph"/>
    <w:basedOn w:val="Normal"/>
    <w:uiPriority w:val="34"/>
    <w:qFormat/>
    <w:rsid w:val="001654AA"/>
    <w:pPr>
      <w:ind w:left="720"/>
      <w:contextualSpacing/>
    </w:pPr>
  </w:style>
  <w:style w:type="paragraph" w:styleId="NoSpacing">
    <w:name w:val="No Spacing"/>
    <w:uiPriority w:val="1"/>
    <w:qFormat/>
    <w:rsid w:val="00681E3E"/>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81E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yingwithoutfea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airways.com/en-gb/information/travel-assistance/flying-with-confid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arlessflyer.easyje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nf.nice.org.uk/dental-practitioners-formul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c4bd333e467819b5a9850be0d952ff4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42f482d9627586a69bb01f7f2ef564c"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df678a4-df38-489e-b5a1-9d30aed219d1}"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EC9A2-7EE7-4163-9BCE-F9F1126CA800}">
  <ds:schemaRefs>
    <ds:schemaRef ds:uri="http://schemas.openxmlformats.org/officeDocument/2006/bibliography"/>
  </ds:schemaRefs>
</ds:datastoreItem>
</file>

<file path=customXml/itemProps2.xml><?xml version="1.0" encoding="utf-8"?>
<ds:datastoreItem xmlns:ds="http://schemas.openxmlformats.org/officeDocument/2006/customXml" ds:itemID="{26E79747-1B7F-4C36-A09A-01131FA7F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D0FE4-9EC4-423F-8361-AE6861889F04}">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4.xml><?xml version="1.0" encoding="utf-8"?>
<ds:datastoreItem xmlns:ds="http://schemas.openxmlformats.org/officeDocument/2006/customXml" ds:itemID="{F902EFF1-1089-43DF-9BCA-09B0553E4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Repeat Prescribing Protocol – The Street Lane Practice</vt:lpstr>
    </vt:vector>
  </TitlesOfParts>
  <Company>NHS Leeds</Company>
  <LinksUpToDate>false</LinksUpToDate>
  <CharactersWithSpaces>5776</CharactersWithSpaces>
  <SharedDoc>false</SharedDoc>
  <HLinks>
    <vt:vector size="18" baseType="variant">
      <vt:variant>
        <vt:i4>7471216</vt:i4>
      </vt:variant>
      <vt:variant>
        <vt:i4>6</vt:i4>
      </vt:variant>
      <vt:variant>
        <vt:i4>0</vt:i4>
      </vt:variant>
      <vt:variant>
        <vt:i4>5</vt:i4>
      </vt:variant>
      <vt:variant>
        <vt:lpwstr>http://nww.lhp.leedsth.nhs.uk/common/guidelines/detail.aspx?id=669</vt:lpwstr>
      </vt:variant>
      <vt:variant>
        <vt:lpwstr/>
      </vt:variant>
      <vt:variant>
        <vt:i4>6488160</vt:i4>
      </vt:variant>
      <vt:variant>
        <vt:i4>3</vt:i4>
      </vt:variant>
      <vt:variant>
        <vt:i4>0</vt:i4>
      </vt:variant>
      <vt:variant>
        <vt:i4>5</vt:i4>
      </vt:variant>
      <vt:variant>
        <vt:lpwstr>http://www.nrls.npsa.nhs.uk/resources/?EntryId45=59814</vt:lpwstr>
      </vt:variant>
      <vt:variant>
        <vt:lpwstr/>
      </vt:variant>
      <vt:variant>
        <vt:i4>4718662</vt:i4>
      </vt:variant>
      <vt:variant>
        <vt:i4>0</vt:i4>
      </vt:variant>
      <vt:variant>
        <vt:i4>0</vt:i4>
      </vt:variant>
      <vt:variant>
        <vt:i4>5</vt:i4>
      </vt:variant>
      <vt:variant>
        <vt:lpwstr>http://nww.lhp.leedsth.nhs.uk/common/guidelines/detail.aspx?id=51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Repeat Prescribing Protocol – The Street Lane Practice</dc:title>
  <dc:creator>sg</dc:creator>
  <cp:lastModifiedBy>Katy Morson</cp:lastModifiedBy>
  <cp:revision>2</cp:revision>
  <cp:lastPrinted>2013-02-13T09:26:00Z</cp:lastPrinted>
  <dcterms:created xsi:type="dcterms:W3CDTF">2025-05-01T08:13:00Z</dcterms:created>
  <dcterms:modified xsi:type="dcterms:W3CDTF">2025-05-01T08:13:00Z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